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2F" w:rsidRDefault="00DC352F" w:rsidP="00E146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26173" w:rsidRPr="00E1469B" w:rsidRDefault="00326173" w:rsidP="00E146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69B">
        <w:rPr>
          <w:rFonts w:ascii="Times New Roman" w:hAnsi="Times New Roman" w:cs="Times New Roman"/>
          <w:b/>
          <w:sz w:val="26"/>
          <w:szCs w:val="26"/>
        </w:rPr>
        <w:t>Алгоритм</w:t>
      </w:r>
    </w:p>
    <w:p w:rsidR="00326173" w:rsidRDefault="000C7A06" w:rsidP="00E1469B">
      <w:pPr>
        <w:pStyle w:val="a3"/>
        <w:ind w:firstLine="851"/>
        <w:jc w:val="center"/>
        <w:rPr>
          <w:rFonts w:ascii="Times New Roman" w:hAnsi="Times New Roman" w:cs="Times New Roman"/>
          <w:b/>
          <w:bCs/>
          <w:color w:val="1E1E1E"/>
          <w:sz w:val="26"/>
          <w:szCs w:val="26"/>
        </w:rPr>
      </w:pPr>
      <w:r w:rsidRPr="00E1469B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награждения ведомственными наградами</w:t>
      </w:r>
      <w:r w:rsidR="00295BA2" w:rsidRPr="00E1469B">
        <w:rPr>
          <w:b/>
          <w:bCs/>
          <w:color w:val="1E1E1E"/>
          <w:sz w:val="26"/>
          <w:szCs w:val="26"/>
        </w:rPr>
        <w:t xml:space="preserve"> </w:t>
      </w:r>
      <w:r w:rsidR="00295BA2" w:rsidRPr="00E1469B">
        <w:rPr>
          <w:rFonts w:ascii="Times New Roman" w:hAnsi="Times New Roman" w:cs="Times New Roman"/>
          <w:b/>
          <w:bCs/>
          <w:color w:val="1E1E1E"/>
          <w:sz w:val="26"/>
          <w:szCs w:val="26"/>
        </w:rPr>
        <w:t>Министерства образования и науки Республики Казахстан</w:t>
      </w:r>
    </w:p>
    <w:p w:rsidR="00DC352F" w:rsidRPr="00E1469B" w:rsidRDefault="00DC352F" w:rsidP="00E1469B">
      <w:pPr>
        <w:pStyle w:val="a3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349"/>
        <w:gridCol w:w="409"/>
        <w:gridCol w:w="6470"/>
      </w:tblGrid>
      <w:tr w:rsidR="00326173" w:rsidRPr="00CE4C97" w:rsidTr="00E1469B">
        <w:tc>
          <w:tcPr>
            <w:tcW w:w="3828" w:type="dxa"/>
            <w:gridSpan w:val="2"/>
          </w:tcPr>
          <w:p w:rsidR="00326173" w:rsidRPr="00E1469B" w:rsidRDefault="00326173" w:rsidP="00E1469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6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Основание</w:t>
            </w:r>
          </w:p>
        </w:tc>
        <w:tc>
          <w:tcPr>
            <w:tcW w:w="6626" w:type="dxa"/>
          </w:tcPr>
          <w:p w:rsidR="00326173" w:rsidRPr="00AC5401" w:rsidRDefault="00AC5401" w:rsidP="00AC5401">
            <w:pPr>
              <w:jc w:val="both"/>
              <w:rPr>
                <w:sz w:val="26"/>
                <w:szCs w:val="26"/>
                <w:lang w:val="ru-RU"/>
              </w:rPr>
            </w:pPr>
            <w:bookmarkStart w:id="1" w:name="z12"/>
            <w:r w:rsidRPr="00AC5401">
              <w:rPr>
                <w:b/>
                <w:color w:val="000000"/>
                <w:sz w:val="26"/>
                <w:szCs w:val="26"/>
                <w:lang w:val="ru-RU"/>
              </w:rPr>
              <w:t>Отраслевая система поощрений Министерства образования и науки Республики Казахстан</w:t>
            </w:r>
            <w:r w:rsidRPr="00AC5401">
              <w:rPr>
                <w:color w:val="000000"/>
                <w:sz w:val="26"/>
                <w:szCs w:val="26"/>
                <w:lang w:val="ru-RU"/>
              </w:rPr>
              <w:t xml:space="preserve"> Утверждена приказом</w:t>
            </w:r>
            <w:r w:rsidRPr="00AC540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C5401">
              <w:rPr>
                <w:color w:val="000000"/>
                <w:sz w:val="26"/>
                <w:szCs w:val="26"/>
                <w:lang w:val="ru-RU"/>
              </w:rPr>
              <w:t>и.о</w:t>
            </w:r>
            <w:proofErr w:type="spellEnd"/>
            <w:r w:rsidRPr="00AC5401">
              <w:rPr>
                <w:color w:val="000000"/>
                <w:sz w:val="26"/>
                <w:szCs w:val="26"/>
                <w:lang w:val="ru-RU"/>
              </w:rPr>
              <w:t>. Министра образования и</w:t>
            </w:r>
            <w:r w:rsidRPr="00AC5401">
              <w:rPr>
                <w:sz w:val="26"/>
                <w:szCs w:val="26"/>
                <w:lang w:val="ru-RU"/>
              </w:rPr>
              <w:t xml:space="preserve"> </w:t>
            </w:r>
            <w:r w:rsidRPr="00AC5401">
              <w:rPr>
                <w:color w:val="000000"/>
                <w:sz w:val="26"/>
                <w:szCs w:val="26"/>
                <w:lang w:val="ru-RU"/>
              </w:rPr>
              <w:t>науки Республики Казахстан</w:t>
            </w:r>
            <w:r w:rsidRPr="00AC5401">
              <w:rPr>
                <w:sz w:val="26"/>
                <w:szCs w:val="26"/>
                <w:lang w:val="ru-RU"/>
              </w:rPr>
              <w:t xml:space="preserve"> </w:t>
            </w:r>
            <w:r w:rsidRPr="00AC5401">
              <w:rPr>
                <w:color w:val="000000"/>
                <w:sz w:val="26"/>
                <w:szCs w:val="26"/>
                <w:lang w:val="ru-RU"/>
              </w:rPr>
              <w:t>от 8 августа 2013 года № 324</w:t>
            </w:r>
            <w:bookmarkEnd w:id="1"/>
            <w:r>
              <w:rPr>
                <w:sz w:val="26"/>
                <w:szCs w:val="26"/>
                <w:lang w:val="ru-RU"/>
              </w:rPr>
              <w:t xml:space="preserve"> </w:t>
            </w:r>
            <w:r w:rsidRPr="00AC5401">
              <w:rPr>
                <w:color w:val="FF0000"/>
                <w:sz w:val="26"/>
                <w:szCs w:val="26"/>
                <w:lang w:val="ru-RU"/>
              </w:rPr>
              <w:t>(Сноска. Отраслевая система поощрений - в редакции приказа Министра образования</w:t>
            </w:r>
            <w:r>
              <w:rPr>
                <w:color w:val="FF0000"/>
                <w:sz w:val="26"/>
                <w:szCs w:val="26"/>
                <w:lang w:val="ru-RU"/>
              </w:rPr>
              <w:t xml:space="preserve"> и науки РК от 29.07.2021 № 372)</w:t>
            </w:r>
          </w:p>
        </w:tc>
      </w:tr>
      <w:tr w:rsidR="00326173" w:rsidRPr="00CE4C97" w:rsidTr="00E1469B">
        <w:tc>
          <w:tcPr>
            <w:tcW w:w="3828" w:type="dxa"/>
            <w:gridSpan w:val="2"/>
          </w:tcPr>
          <w:p w:rsidR="00326173" w:rsidRPr="00E1469B" w:rsidRDefault="00407E27" w:rsidP="00E1469B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69B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Виды наград</w:t>
            </w:r>
          </w:p>
        </w:tc>
        <w:tc>
          <w:tcPr>
            <w:tcW w:w="6626" w:type="dxa"/>
          </w:tcPr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1) "Білім және ғылым министрінің Алғысы"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2) "Білім және ғылым министрінің Құрмет грамотасы"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3) Почетный диплом "Мектепке дейінгі тәрбие мен оқу iсiнiң үздiгi";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4) Почетный диплом "Орта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";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5) Почетный диплом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Қосымша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берудің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үздігі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";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6) Почетный диплом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Техникалық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кәсiптiк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";</w:t>
            </w:r>
          </w:p>
          <w:p w:rsidR="00407E27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7) Нагрудный знак "Ы.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Алтынсарин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";</w:t>
            </w:r>
          </w:p>
          <w:p w:rsidR="00326173" w:rsidRPr="00E1469B" w:rsidRDefault="00407E27" w:rsidP="00E1469B">
            <w:pPr>
              <w:pStyle w:val="a5"/>
              <w:tabs>
                <w:tab w:val="left" w:pos="142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8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>) Нагрудный знак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ісінің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құрметті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қызметкері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.</w:t>
            </w:r>
          </w:p>
        </w:tc>
      </w:tr>
      <w:tr w:rsidR="00326173" w:rsidRPr="00CE4C97" w:rsidTr="00E1469B">
        <w:tc>
          <w:tcPr>
            <w:tcW w:w="10454" w:type="dxa"/>
            <w:gridSpan w:val="3"/>
          </w:tcPr>
          <w:p w:rsidR="009A0F0D" w:rsidRPr="00E1469B" w:rsidRDefault="009A0F0D" w:rsidP="00E1469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К следующему виду Поощрения согласно Последовательности, лицо не представляется без наличия предыдущего Поощрения.</w:t>
            </w:r>
          </w:p>
          <w:p w:rsidR="00326173" w:rsidRPr="00E1469B" w:rsidRDefault="009A0F0D" w:rsidP="00E1469B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      Допускается повторное награждение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Алғысы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",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Құрмет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грамотасы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министрлігі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мен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оның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ведомстволық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бағынысты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ұйымдарының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қызметкеріне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Алғысы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",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министрлігі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мен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оның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ведомстволық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бағынысты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ұйымдарының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қызметкеріне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Құрмет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грамотасы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 вне зависимости от наличия этого Поощрения в прошлом либо наличия более высоких по Последовательности других Поощрений.</w:t>
            </w:r>
          </w:p>
        </w:tc>
      </w:tr>
      <w:tr w:rsidR="00CF05EC" w:rsidRPr="00E1469B" w:rsidTr="00E1469B">
        <w:tc>
          <w:tcPr>
            <w:tcW w:w="10454" w:type="dxa"/>
            <w:gridSpan w:val="3"/>
          </w:tcPr>
          <w:p w:rsidR="00CF05EC" w:rsidRPr="00E1469B" w:rsidRDefault="00CF05EC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 w:val="26"/>
                <w:szCs w:val="26"/>
              </w:rPr>
            </w:pPr>
            <w:r w:rsidRPr="00E1469B">
              <w:rPr>
                <w:b/>
                <w:bCs/>
                <w:color w:val="1E1E1E"/>
                <w:sz w:val="26"/>
                <w:szCs w:val="26"/>
              </w:rPr>
              <w:t>Основания награждения Поощрениями</w:t>
            </w:r>
          </w:p>
        </w:tc>
      </w:tr>
      <w:tr w:rsidR="005A669E" w:rsidRPr="00CE4C97" w:rsidTr="005A669E">
        <w:tc>
          <w:tcPr>
            <w:tcW w:w="3405" w:type="dxa"/>
          </w:tcPr>
          <w:p w:rsidR="005A669E" w:rsidRPr="001D7572" w:rsidRDefault="001D7572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E1E1E"/>
                <w:sz w:val="26"/>
                <w:szCs w:val="26"/>
                <w:lang w:val="en-US"/>
              </w:rPr>
            </w:pPr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>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Алғысы</w:t>
            </w:r>
            <w:proofErr w:type="spellEnd"/>
            <w:r w:rsidRPr="001D7572">
              <w:rPr>
                <w:b/>
                <w:color w:val="000000"/>
                <w:spacing w:val="2"/>
                <w:sz w:val="26"/>
                <w:szCs w:val="26"/>
                <w:lang w:val="en-US"/>
              </w:rPr>
              <w:t>"</w:t>
            </w:r>
          </w:p>
        </w:tc>
        <w:tc>
          <w:tcPr>
            <w:tcW w:w="7049" w:type="dxa"/>
            <w:gridSpan w:val="2"/>
          </w:tcPr>
          <w:p w:rsidR="005A669E" w:rsidRPr="001D7572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награждаются лица за образцовое исполнение служебных обязанностей, творческую активность, безупречную службу, другие достижения в трудовой деятельности и иные заслуги в областях образования и науки.</w:t>
            </w:r>
          </w:p>
        </w:tc>
      </w:tr>
      <w:tr w:rsidR="005A669E" w:rsidRPr="00CE4C97" w:rsidTr="005A669E">
        <w:tc>
          <w:tcPr>
            <w:tcW w:w="3405" w:type="dxa"/>
          </w:tcPr>
          <w:p w:rsidR="005A669E" w:rsidRPr="001D7572" w:rsidRDefault="001D7572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E1E1E"/>
                <w:sz w:val="26"/>
                <w:szCs w:val="26"/>
              </w:rPr>
            </w:pPr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Құрмет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грамотасы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</w:t>
            </w:r>
          </w:p>
        </w:tc>
        <w:tc>
          <w:tcPr>
            <w:tcW w:w="7049" w:type="dxa"/>
            <w:gridSpan w:val="2"/>
          </w:tcPr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награждаются лица: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1) за безупречную службу, образцовое исполнение служебных обязанностей, творческую активность, успешные результаты в конкурсах, олимпиадах, конференциях, смотрах, выставках и состязаниях, другие достижения и заслуги в областях образования и науки.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2) со стажем работы 5 и более лет в органах управления образованием и (или) в организациях образования, и (или) в качестве научного работника;</w:t>
            </w:r>
          </w:p>
          <w:p w:rsidR="005A669E" w:rsidRPr="001D7572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3) имеющие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Алғысы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".</w:t>
            </w:r>
          </w:p>
        </w:tc>
      </w:tr>
      <w:tr w:rsidR="005A669E" w:rsidRPr="00CE4C97" w:rsidTr="005A669E">
        <w:tc>
          <w:tcPr>
            <w:tcW w:w="3405" w:type="dxa"/>
          </w:tcPr>
          <w:p w:rsidR="005A669E" w:rsidRPr="001D7572" w:rsidRDefault="001D7572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E1E1E"/>
                <w:sz w:val="26"/>
                <w:szCs w:val="26"/>
              </w:rPr>
            </w:pPr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Почетным дипломом 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Мектепке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дейінгі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тәрбие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мен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оқу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", "Орта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", 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Қосымша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lastRenderedPageBreak/>
              <w:t>берудің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үздігі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", 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Техникалық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кәсiптiк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", 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Жоғары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жоғары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оқу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орнынан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кейінгі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iсiнiң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үздiгi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</w:t>
            </w:r>
          </w:p>
        </w:tc>
        <w:tc>
          <w:tcPr>
            <w:tcW w:w="7049" w:type="dxa"/>
            <w:gridSpan w:val="2"/>
          </w:tcPr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lastRenderedPageBreak/>
              <w:t>награждаются лица: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1) за значительные успехи по соответствующему уровню образования в организации и совершенствовании образовательного и воспитательного процессов, обеспечении единства обучения и воспитания, реализации 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lastRenderedPageBreak/>
              <w:t>образовательных и воспитательных программ, успехи в практической подготовке учащихся, воспитанников, в развитии их творческой активности, их достижения в областных (районных), республиканских международных образовательных программах и проектах;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2) со стажем работы 10 и более лет в органах управления образованием, связанных с государственным управлением организаций образования соответствующего уровня и (или) в организациях образования соответствующего уровня;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3) имеющие "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және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ғылым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министрінің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Құрмет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грамотасы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</w:rPr>
              <w:t>";</w:t>
            </w:r>
          </w:p>
          <w:p w:rsidR="005A669E" w:rsidRPr="00D12994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4) имеющие квалификационную категорию "педагог-исследователь" или "педагог-мастер".</w:t>
            </w:r>
          </w:p>
        </w:tc>
      </w:tr>
      <w:tr w:rsidR="005A669E" w:rsidRPr="00CE4C97" w:rsidTr="005A669E">
        <w:tc>
          <w:tcPr>
            <w:tcW w:w="3405" w:type="dxa"/>
          </w:tcPr>
          <w:p w:rsidR="005A669E" w:rsidRPr="001D7572" w:rsidRDefault="001D7572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E1E1E"/>
                <w:sz w:val="26"/>
                <w:szCs w:val="26"/>
              </w:rPr>
            </w:pPr>
            <w:r w:rsidRPr="00E1469B">
              <w:rPr>
                <w:b/>
                <w:color w:val="000000"/>
                <w:spacing w:val="2"/>
                <w:sz w:val="26"/>
                <w:szCs w:val="26"/>
              </w:rPr>
              <w:lastRenderedPageBreak/>
              <w:t xml:space="preserve">Нагрудным знаком "Ы.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Алтынсарин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</w:t>
            </w:r>
          </w:p>
        </w:tc>
        <w:tc>
          <w:tcPr>
            <w:tcW w:w="7049" w:type="dxa"/>
            <w:gridSpan w:val="2"/>
          </w:tcPr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награждаются лица: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      1) за значительные успехи в организации и совершенствовании образовательного и воспитательного процессов, обеспечении единства обучения и воспитания, реализации образовательных и воспитательных программ, успехи в практической подготовке учащихся, воспитанников, в развитии их творческой активности, их достижения в областных (районных), республиканских международных образовательных программах и проектах;</w:t>
            </w:r>
          </w:p>
          <w:p w:rsidR="005A669E" w:rsidRPr="001D7572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      2) со стажем работы в органах управления образованием и (или) в организациях образования 10 и более лет.</w:t>
            </w:r>
          </w:p>
        </w:tc>
      </w:tr>
      <w:tr w:rsidR="005A669E" w:rsidRPr="001D7572" w:rsidTr="005A669E">
        <w:tc>
          <w:tcPr>
            <w:tcW w:w="3405" w:type="dxa"/>
          </w:tcPr>
          <w:p w:rsidR="005A669E" w:rsidRPr="001D7572" w:rsidRDefault="001D7572" w:rsidP="00E1469B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1E1E1E"/>
                <w:sz w:val="26"/>
                <w:szCs w:val="26"/>
              </w:rPr>
            </w:pPr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Нагрудным знаком "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Білім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беру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ісінің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құрметті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қызметкері</w:t>
            </w:r>
            <w:proofErr w:type="spellEnd"/>
            <w:r w:rsidRPr="00E1469B">
              <w:rPr>
                <w:b/>
                <w:color w:val="000000"/>
                <w:spacing w:val="2"/>
                <w:sz w:val="26"/>
                <w:szCs w:val="26"/>
              </w:rPr>
              <w:t>"</w:t>
            </w:r>
          </w:p>
        </w:tc>
        <w:tc>
          <w:tcPr>
            <w:tcW w:w="7049" w:type="dxa"/>
            <w:gridSpan w:val="2"/>
          </w:tcPr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награждаются лица: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      1) за внедренные в учебный процесс активные формы и методы организации и проведения занятий, контроля знаний и новые интерактивные технологии, обеспечивающие развитие самостоятельности учащихся, воспитанников и студентов, индивидуализацию их обучения, успехи в руководстве научно-исследовательской и проектно-конструкторской деятельностью обучаемых, достижения в региональных, республиканских, международных образовательных и научно-технических программах и проектах, исследования по актуальным проблемам образования, заслуги в подготовке и повышении педагогической и научной квалификации преподавательских кадров, переподготовке специалистов системы образования, успехи в разработке учебной литературы, производстве учебных пособий и оборудования, успехи в организации финансово-хозяйственной деятельности, развитии и укреплении материально-технической, экспериментально-производственной базы организаций образования;</w:t>
            </w:r>
          </w:p>
          <w:p w:rsidR="001D7572" w:rsidRPr="00E1469B" w:rsidRDefault="001D7572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      2) со стажем работы более десяти лет в органах управления образованием и (или) в организациях образования, и (или) в качестве научного работника, и имеющие высшую либо первую квалификационную категорию "педагог-исследователь" или "педагог-мастер".</w:t>
            </w:r>
          </w:p>
          <w:p w:rsidR="005A669E" w:rsidRPr="001D7572" w:rsidRDefault="005A669E" w:rsidP="00D12994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1E1E1E"/>
                <w:sz w:val="26"/>
                <w:szCs w:val="26"/>
              </w:rPr>
            </w:pPr>
          </w:p>
        </w:tc>
      </w:tr>
      <w:tr w:rsidR="00CF05EC" w:rsidRPr="00E1469B" w:rsidTr="00E1469B">
        <w:tc>
          <w:tcPr>
            <w:tcW w:w="10454" w:type="dxa"/>
            <w:gridSpan w:val="3"/>
          </w:tcPr>
          <w:p w:rsidR="00CF05EC" w:rsidRPr="00E1469B" w:rsidRDefault="00CF05EC" w:rsidP="006408B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AC5401">
              <w:rPr>
                <w:b/>
                <w:color w:val="000000"/>
                <w:spacing w:val="2"/>
                <w:sz w:val="26"/>
                <w:szCs w:val="26"/>
                <w:lang w:val="kk-KZ"/>
              </w:rPr>
              <w:lastRenderedPageBreak/>
              <w:t>Представление на награду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 предоставляется в виде наградного листа заполненного по критериям согласно приложению №5 отраслевой системы поощрения.</w:t>
            </w:r>
          </w:p>
        </w:tc>
      </w:tr>
      <w:tr w:rsidR="00CF05EC" w:rsidRPr="00E1469B" w:rsidTr="00E1469B">
        <w:tc>
          <w:tcPr>
            <w:tcW w:w="10454" w:type="dxa"/>
            <w:gridSpan w:val="3"/>
          </w:tcPr>
          <w:p w:rsidR="00CF05EC" w:rsidRPr="00E1469B" w:rsidRDefault="00CF05EC" w:rsidP="00E1469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1469B">
              <w:rPr>
                <w:rFonts w:ascii="Times New Roman" w:hAnsi="Times New Roman" w:cs="Times New Roman"/>
                <w:b/>
                <w:bCs/>
                <w:color w:val="1E1E1E"/>
                <w:sz w:val="26"/>
                <w:szCs w:val="26"/>
                <w:lang w:val="kk-KZ"/>
              </w:rPr>
              <w:t>ПОРЯДОК</w:t>
            </w:r>
          </w:p>
        </w:tc>
      </w:tr>
      <w:tr w:rsidR="00CF05EC" w:rsidRPr="00CE4C97" w:rsidTr="00E1469B">
        <w:tc>
          <w:tcPr>
            <w:tcW w:w="10454" w:type="dxa"/>
            <w:gridSpan w:val="3"/>
          </w:tcPr>
          <w:p w:rsidR="00CF05EC" w:rsidRPr="00E1469B" w:rsidRDefault="00CF05EC" w:rsidP="006408B5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D12994">
              <w:rPr>
                <w:b/>
                <w:sz w:val="26"/>
                <w:szCs w:val="26"/>
                <w:lang w:val="kk-KZ"/>
              </w:rPr>
              <w:t>Создается ко</w:t>
            </w:r>
            <w:r w:rsidRPr="00D12994">
              <w:rPr>
                <w:b/>
                <w:bCs/>
                <w:sz w:val="26"/>
                <w:szCs w:val="26"/>
              </w:rPr>
              <w:t>миссия</w:t>
            </w:r>
            <w:r w:rsidRPr="00E1469B">
              <w:rPr>
                <w:bCs/>
                <w:sz w:val="26"/>
                <w:szCs w:val="26"/>
              </w:rPr>
              <w:t xml:space="preserve"> </w:t>
            </w:r>
            <w:r w:rsidR="006408B5">
              <w:rPr>
                <w:bCs/>
                <w:sz w:val="26"/>
                <w:szCs w:val="26"/>
                <w:lang w:val="kk-KZ"/>
              </w:rPr>
              <w:t>по внесению материалов на награждение Поощрениями за вклад в развитие дошкольного, среднего, технического образования</w:t>
            </w:r>
            <w:r w:rsidRPr="00E1469B">
              <w:rPr>
                <w:bCs/>
                <w:sz w:val="26"/>
                <w:szCs w:val="26"/>
                <w:lang w:val="kk-KZ"/>
              </w:rPr>
              <w:t>,</w:t>
            </w:r>
            <w:r w:rsidRPr="00E1469B">
              <w:rPr>
                <w:bCs/>
                <w:sz w:val="26"/>
                <w:szCs w:val="26"/>
              </w:rPr>
              <w:t xml:space="preserve"> в состав которого входят представители СМИ, </w:t>
            </w:r>
            <w:r w:rsidRPr="00E1469B">
              <w:rPr>
                <w:spacing w:val="2"/>
                <w:sz w:val="26"/>
                <w:szCs w:val="26"/>
                <w:lang w:val="kk-KZ"/>
              </w:rPr>
              <w:t xml:space="preserve">общественных деятелей, профессионального союза и представителей организации образования.    </w:t>
            </w:r>
          </w:p>
        </w:tc>
      </w:tr>
      <w:tr w:rsidR="00CF05EC" w:rsidRPr="00CE4C97" w:rsidTr="00E1469B">
        <w:tc>
          <w:tcPr>
            <w:tcW w:w="10454" w:type="dxa"/>
            <w:gridSpan w:val="3"/>
          </w:tcPr>
          <w:p w:rsidR="00CF05EC" w:rsidRPr="00E1469B" w:rsidRDefault="00E63D0D" w:rsidP="00E1469B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  <w:lang w:val="kk-KZ"/>
              </w:rPr>
              <w:t>Комиссия о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рган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>ов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образования 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не позднее, чем за 70 дней до празднования 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н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ациональн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ого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праздник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а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– "День Независимости", профессиональны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х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праздни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ков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– "День знаний", "День учителя", "День работников науки", "День труда"</w:t>
            </w:r>
            <w:r w:rsidR="00CF05EC"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направл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>я</w:t>
            </w:r>
            <w:r w:rsidR="00CF05EC"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ют в Управление образования Карагандинской области следующие материалы: </w:t>
            </w:r>
          </w:p>
          <w:p w:rsidR="00CF05EC" w:rsidRPr="00E1469B" w:rsidRDefault="00CF05EC" w:rsidP="00E1469B">
            <w:pPr>
              <w:pStyle w:val="a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1) представление на награждение поощрением лица с приложением протокола заседания педагогического совета (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комиссии по наградам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>).</w:t>
            </w:r>
          </w:p>
          <w:p w:rsidR="00CF05EC" w:rsidRPr="00E1469B" w:rsidRDefault="00CF05EC" w:rsidP="00E1469B">
            <w:pPr>
              <w:pStyle w:val="a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E1469B">
              <w:rPr>
                <w:color w:val="000000"/>
                <w:spacing w:val="2"/>
                <w:sz w:val="26"/>
                <w:szCs w:val="26"/>
              </w:rPr>
              <w:t>2) наградной лист установленного образца по форме согласно </w:t>
            </w:r>
            <w:hyperlink r:id="rId5" w:anchor="z223" w:history="1">
              <w:r w:rsidRPr="00E1469B">
                <w:rPr>
                  <w:rStyle w:val="a6"/>
                  <w:color w:val="073A5E"/>
                  <w:spacing w:val="2"/>
                  <w:sz w:val="26"/>
                  <w:szCs w:val="26"/>
                </w:rPr>
                <w:t>приложению 5</w:t>
              </w:r>
            </w:hyperlink>
            <w:r w:rsidRPr="00E1469B">
              <w:rPr>
                <w:color w:val="000000"/>
                <w:spacing w:val="2"/>
                <w:sz w:val="26"/>
                <w:szCs w:val="26"/>
              </w:rPr>
              <w:t xml:space="preserve"> к Системе поощрения 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МОН РК 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>(далее – наградной лист).</w:t>
            </w:r>
          </w:p>
          <w:p w:rsidR="00CF05EC" w:rsidRPr="00E1469B" w:rsidRDefault="00CF05EC" w:rsidP="00E1469B">
            <w:pPr>
              <w:pStyle w:val="a5"/>
              <w:tabs>
                <w:tab w:val="left" w:pos="28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3) таблицу на кандидатов с указанием баллов.</w:t>
            </w:r>
          </w:p>
        </w:tc>
      </w:tr>
      <w:tr w:rsidR="00CF05EC" w:rsidRPr="00CE4C97" w:rsidTr="00E1469B">
        <w:tc>
          <w:tcPr>
            <w:tcW w:w="10454" w:type="dxa"/>
            <w:gridSpan w:val="3"/>
          </w:tcPr>
          <w:p w:rsidR="00CF05EC" w:rsidRPr="00E1469B" w:rsidRDefault="00E63D0D" w:rsidP="008B1293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pacing w:val="2"/>
                <w:sz w:val="26"/>
                <w:szCs w:val="26"/>
                <w:lang w:val="kk-KZ"/>
              </w:rPr>
            </w:pPr>
            <w:r w:rsidRPr="00D12994">
              <w:rPr>
                <w:b/>
                <w:color w:val="000000"/>
                <w:spacing w:val="2"/>
                <w:sz w:val="26"/>
                <w:szCs w:val="26"/>
                <w:lang w:val="kk-KZ"/>
              </w:rPr>
              <w:t>Региональная комиссия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Управления образования Карагандинской области 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>не позднее,</w:t>
            </w:r>
            <w:r w:rsidR="008B1293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чем за 45 дней до празднования 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н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ациональн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ого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праздник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а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– "День Независимости", профессиональны</w:t>
            </w:r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х </w:t>
            </w:r>
            <w:proofErr w:type="spellStart"/>
            <w:r w:rsidRPr="00E1469B">
              <w:rPr>
                <w:color w:val="000000"/>
                <w:spacing w:val="2"/>
                <w:sz w:val="26"/>
                <w:szCs w:val="26"/>
              </w:rPr>
              <w:t>праздни</w:t>
            </w:r>
            <w:proofErr w:type="spellEnd"/>
            <w:r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ков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 – "День знаний", "День учителя", "День работников науки", "День труда"</w:t>
            </w:r>
            <w:r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 </w:t>
            </w:r>
            <w:r w:rsidR="00D27AE6" w:rsidRPr="00E1469B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Pr="00E1469B">
              <w:rPr>
                <w:color w:val="000000"/>
                <w:spacing w:val="2"/>
                <w:sz w:val="26"/>
                <w:szCs w:val="26"/>
              </w:rPr>
              <w:t xml:space="preserve">рассматривает материалы на награждение Поощрениями лиц, внесенными педагогическими советами организаций дошкольного, среднего, технического и профессионального образования за вклад в развитие дошкольного, среднего, технического </w:t>
            </w:r>
            <w:r w:rsidR="008B1293">
              <w:rPr>
                <w:color w:val="000000"/>
                <w:spacing w:val="2"/>
                <w:sz w:val="26"/>
                <w:szCs w:val="26"/>
              </w:rPr>
              <w:t xml:space="preserve">образования </w:t>
            </w:r>
            <w:r w:rsidR="008B1293">
              <w:rPr>
                <w:color w:val="000000"/>
                <w:spacing w:val="2"/>
                <w:sz w:val="26"/>
                <w:szCs w:val="26"/>
                <w:lang w:val="kk-KZ"/>
              </w:rPr>
              <w:t xml:space="preserve">и </w:t>
            </w:r>
            <w:r w:rsidR="00D27AE6" w:rsidRPr="00E1469B">
              <w:rPr>
                <w:color w:val="000000"/>
                <w:spacing w:val="2"/>
                <w:sz w:val="26"/>
                <w:szCs w:val="26"/>
                <w:lang w:val="kk-KZ"/>
              </w:rPr>
              <w:t>направляет в МОН РК.</w:t>
            </w:r>
          </w:p>
        </w:tc>
      </w:tr>
      <w:tr w:rsidR="00CF05EC" w:rsidRPr="00CE4C97" w:rsidTr="00E1469B">
        <w:tc>
          <w:tcPr>
            <w:tcW w:w="10454" w:type="dxa"/>
            <w:gridSpan w:val="3"/>
          </w:tcPr>
          <w:p w:rsidR="00CF05EC" w:rsidRPr="00E1469B" w:rsidRDefault="00CF05EC" w:rsidP="00E1469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Заседания комиссии</w:t>
            </w:r>
            <w:r w:rsidRPr="00E1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оформляется протоколом, подписанным председателем, членами комиссии, присутствовавшими на заседании, и секретарем.</w:t>
            </w:r>
          </w:p>
          <w:p w:rsidR="00CF05EC" w:rsidRPr="00E1469B" w:rsidRDefault="00CF05EC" w:rsidP="00E1469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Заседание комиссии</w:t>
            </w:r>
            <w:r w:rsidRPr="00E1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считается состоявшимся, а его решение правомочным, если на нем присутствовали не менее двух третей членов от общего состава комиссии.</w:t>
            </w:r>
          </w:p>
          <w:p w:rsidR="00CF05EC" w:rsidRPr="00E1469B" w:rsidRDefault="00CF05EC" w:rsidP="00E1469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1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  <w:r w:rsidRPr="00E1469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Заседания комиссии</w:t>
            </w:r>
            <w:r w:rsidRPr="00E146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комиссии сопровождается аудиовидеозаписью. Аудиовидеозаписи хранятся в архиве в течение одного года со дня проведения первого заседания</w:t>
            </w:r>
          </w:p>
        </w:tc>
      </w:tr>
    </w:tbl>
    <w:p w:rsidR="00326173" w:rsidRPr="00E1469B" w:rsidRDefault="00326173" w:rsidP="00E1469B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eastAsia="Calibri"/>
          <w:b/>
          <w:sz w:val="26"/>
          <w:szCs w:val="26"/>
          <w:lang w:val="ru-RU"/>
        </w:rPr>
        <w:sectPr w:rsidR="00326173" w:rsidRPr="00E1469B" w:rsidSect="00DC352F">
          <w:pgSz w:w="11906" w:h="16838"/>
          <w:pgMar w:top="709" w:right="851" w:bottom="709" w:left="1418" w:header="709" w:footer="709" w:gutter="0"/>
          <w:cols w:space="708"/>
          <w:titlePg/>
          <w:docGrid w:linePitch="360"/>
        </w:sectPr>
      </w:pPr>
    </w:p>
    <w:p w:rsidR="00DA7FEA" w:rsidRPr="00E1469B" w:rsidRDefault="00DA7FEA" w:rsidP="00E1469B">
      <w:pPr>
        <w:jc w:val="both"/>
        <w:rPr>
          <w:sz w:val="26"/>
          <w:szCs w:val="26"/>
          <w:lang w:val="ru-RU"/>
        </w:rPr>
      </w:pPr>
    </w:p>
    <w:sectPr w:rsidR="00DA7FEA" w:rsidRPr="00E1469B" w:rsidSect="002C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569"/>
    <w:multiLevelType w:val="hybridMultilevel"/>
    <w:tmpl w:val="9776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944"/>
    <w:multiLevelType w:val="hybridMultilevel"/>
    <w:tmpl w:val="BCFCC6DC"/>
    <w:lvl w:ilvl="0" w:tplc="98346A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73"/>
    <w:rsid w:val="00025BBA"/>
    <w:rsid w:val="000347E0"/>
    <w:rsid w:val="000B3294"/>
    <w:rsid w:val="000C7A06"/>
    <w:rsid w:val="001C62C2"/>
    <w:rsid w:val="001D7572"/>
    <w:rsid w:val="00204CD9"/>
    <w:rsid w:val="00295BA2"/>
    <w:rsid w:val="002C3793"/>
    <w:rsid w:val="00326173"/>
    <w:rsid w:val="00407E27"/>
    <w:rsid w:val="00512D9A"/>
    <w:rsid w:val="0052243F"/>
    <w:rsid w:val="005500FA"/>
    <w:rsid w:val="005A669E"/>
    <w:rsid w:val="005B7B2A"/>
    <w:rsid w:val="005F4F00"/>
    <w:rsid w:val="00634E28"/>
    <w:rsid w:val="006408B5"/>
    <w:rsid w:val="007D2A93"/>
    <w:rsid w:val="007F3A07"/>
    <w:rsid w:val="008B1293"/>
    <w:rsid w:val="008C7042"/>
    <w:rsid w:val="009A0F0D"/>
    <w:rsid w:val="009A48D1"/>
    <w:rsid w:val="00A15F14"/>
    <w:rsid w:val="00AC5401"/>
    <w:rsid w:val="00B008B2"/>
    <w:rsid w:val="00BA6D0B"/>
    <w:rsid w:val="00C050C5"/>
    <w:rsid w:val="00CE4C97"/>
    <w:rsid w:val="00CF05EC"/>
    <w:rsid w:val="00D12994"/>
    <w:rsid w:val="00D27AE6"/>
    <w:rsid w:val="00DA5DEB"/>
    <w:rsid w:val="00DA7FEA"/>
    <w:rsid w:val="00DC352F"/>
    <w:rsid w:val="00E1469B"/>
    <w:rsid w:val="00E63D0D"/>
    <w:rsid w:val="00EF3E2B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FDD67-AC71-49AF-9232-B6C6B36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7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73"/>
    <w:pPr>
      <w:spacing w:after="0" w:line="240" w:lineRule="auto"/>
    </w:pPr>
  </w:style>
  <w:style w:type="table" w:styleId="a4">
    <w:name w:val="Table Grid"/>
    <w:basedOn w:val="a1"/>
    <w:uiPriority w:val="39"/>
    <w:rsid w:val="0032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7E2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634E28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6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1300008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zhzhumageldina</dc:creator>
  <cp:keywords/>
  <dc:description/>
  <cp:lastModifiedBy>1</cp:lastModifiedBy>
  <cp:revision>2</cp:revision>
  <cp:lastPrinted>2022-03-01T06:50:00Z</cp:lastPrinted>
  <dcterms:created xsi:type="dcterms:W3CDTF">2024-04-19T10:33:00Z</dcterms:created>
  <dcterms:modified xsi:type="dcterms:W3CDTF">2024-04-19T10:33:00Z</dcterms:modified>
</cp:coreProperties>
</file>